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06.08.2018г. №8</w:t>
      </w:r>
      <w:r>
        <w:rPr>
          <w:rFonts w:ascii="Arial" w:hAnsi="Arial" w:cs="Arial"/>
          <w:b/>
          <w:bCs/>
          <w:kern w:val="28"/>
          <w:sz w:val="32"/>
          <w:szCs w:val="32"/>
        </w:rPr>
        <w:t>49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ED346A" w:rsidRPr="00FF2A27" w:rsidRDefault="00ED346A" w:rsidP="00ED346A">
      <w:pPr>
        <w:keepNext/>
        <w:jc w:val="center"/>
        <w:outlineLvl w:val="1"/>
        <w:rPr>
          <w:rFonts w:ascii="Arial" w:hAnsi="Arial"/>
          <w:b/>
          <w:kern w:val="2"/>
          <w:sz w:val="32"/>
          <w:szCs w:val="32"/>
        </w:rPr>
      </w:pPr>
      <w:r w:rsidRPr="00ED346A">
        <w:rPr>
          <w:rFonts w:ascii="Arial" w:hAnsi="Arial"/>
          <w:b/>
          <w:kern w:val="2"/>
          <w:sz w:val="32"/>
          <w:szCs w:val="32"/>
        </w:rPr>
        <w:t>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 АДМИНИСТРАЦИИ СЛЮДЯНСКОГО ГОРОДСКОГО ПОСЕЛЕНИЯ СЛЮДЯНСКОГО РАЙОНА И ПОДВЕДОМСТВЕННЫХ ЕЙ МУНИЦИПАЛЬНЫХ УЧРЕЖДЕНИЙ, МУНИЦИПАЛЬНОГО УНИТАРНОГО ПРЕДПРИЯТИЯ</w:t>
      </w:r>
    </w:p>
    <w:p w:rsidR="00606FF9" w:rsidRPr="00ED346A" w:rsidRDefault="00606FF9" w:rsidP="00ED346A">
      <w:pPr>
        <w:pStyle w:val="ConsPlusTitle"/>
        <w:ind w:right="4252"/>
        <w:rPr>
          <w:rFonts w:ascii="Arial" w:hAnsi="Arial" w:cs="Arial"/>
          <w:b w:val="0"/>
          <w:sz w:val="24"/>
          <w:szCs w:val="24"/>
        </w:rPr>
      </w:pPr>
    </w:p>
    <w:p w:rsidR="00ED346A" w:rsidRPr="001D5DBC" w:rsidRDefault="00386CFB" w:rsidP="00ED346A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ED346A">
        <w:rPr>
          <w:rFonts w:ascii="Arial" w:hAnsi="Arial" w:cs="Arial"/>
          <w:sz w:val="24"/>
          <w:szCs w:val="24"/>
        </w:rPr>
        <w:t>В</w:t>
      </w:r>
      <w:r w:rsidR="00DE022E" w:rsidRPr="00ED346A">
        <w:rPr>
          <w:rFonts w:ascii="Arial" w:hAnsi="Arial" w:cs="Arial"/>
          <w:sz w:val="24"/>
          <w:szCs w:val="24"/>
        </w:rPr>
        <w:t xml:space="preserve"> соответствии </w:t>
      </w:r>
      <w:r w:rsidRPr="00ED346A">
        <w:rPr>
          <w:rFonts w:ascii="Arial" w:hAnsi="Arial" w:cs="Arial"/>
          <w:sz w:val="24"/>
          <w:szCs w:val="24"/>
        </w:rPr>
        <w:t>со статьей 19</w:t>
      </w:r>
      <w:r w:rsidR="00DE022E" w:rsidRPr="00ED346A">
        <w:rPr>
          <w:rFonts w:ascii="Arial" w:hAnsi="Arial" w:cs="Arial"/>
          <w:sz w:val="24"/>
          <w:szCs w:val="24"/>
        </w:rPr>
        <w:t xml:space="preserve"> Федерального закона от 05.04.2013</w:t>
      </w:r>
      <w:r w:rsidR="0039683E" w:rsidRPr="00ED346A">
        <w:rPr>
          <w:rFonts w:ascii="Arial" w:hAnsi="Arial" w:cs="Arial"/>
          <w:sz w:val="24"/>
          <w:szCs w:val="24"/>
        </w:rPr>
        <w:t xml:space="preserve"> года</w:t>
      </w:r>
      <w:r w:rsidR="00DE022E" w:rsidRPr="00ED346A">
        <w:rPr>
          <w:rFonts w:ascii="Arial" w:hAnsi="Arial" w:cs="Arial"/>
          <w:sz w:val="24"/>
          <w:szCs w:val="24"/>
        </w:rPr>
        <w:t xml:space="preserve"> </w:t>
      </w:r>
      <w:r w:rsidR="00EA3AC4" w:rsidRPr="00ED346A">
        <w:rPr>
          <w:rFonts w:ascii="Arial" w:hAnsi="Arial" w:cs="Arial"/>
          <w:sz w:val="24"/>
          <w:szCs w:val="24"/>
        </w:rPr>
        <w:t>№44-ФЗ «</w:t>
      </w:r>
      <w:r w:rsidR="00DE022E" w:rsidRPr="00ED346A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A3AC4" w:rsidRPr="00ED346A">
        <w:rPr>
          <w:rFonts w:ascii="Arial" w:hAnsi="Arial" w:cs="Arial"/>
          <w:sz w:val="24"/>
          <w:szCs w:val="24"/>
        </w:rPr>
        <w:t>арственных и муниципальных нужд»</w:t>
      </w:r>
      <w:r w:rsidR="00DE022E" w:rsidRPr="00ED346A">
        <w:rPr>
          <w:rFonts w:ascii="Arial" w:hAnsi="Arial" w:cs="Arial"/>
          <w:sz w:val="24"/>
          <w:szCs w:val="24"/>
        </w:rPr>
        <w:t xml:space="preserve">, </w:t>
      </w:r>
      <w:r w:rsidR="00A6147C" w:rsidRPr="00ED346A">
        <w:rPr>
          <w:rFonts w:ascii="Arial" w:hAnsi="Arial" w:cs="Arial"/>
          <w:sz w:val="24"/>
          <w:szCs w:val="24"/>
        </w:rPr>
        <w:t xml:space="preserve">руководствуясь Правилами определения требований к закупаемым органами местного самоуправления Слюдянского муниципального образованиями и подведомственными им казенными и бюджетным учреждениями, муниципальным унитарным предприятием отдельным видам товаров, работ, услуг (в том числе предельные цены товаров, работ, услуг), </w:t>
      </w:r>
      <w:r w:rsidR="00DE022E" w:rsidRPr="00ED346A">
        <w:rPr>
          <w:rFonts w:ascii="Arial" w:hAnsi="Arial" w:cs="Arial"/>
          <w:sz w:val="24"/>
          <w:szCs w:val="24"/>
        </w:rPr>
        <w:t>статьями 44, 47, 58 Устава Слюдянского муниципального образования</w:t>
      </w:r>
      <w:r w:rsidR="00606FF9" w:rsidRPr="00ED346A">
        <w:rPr>
          <w:rFonts w:ascii="Arial" w:hAnsi="Arial" w:cs="Arial"/>
          <w:sz w:val="24"/>
          <w:szCs w:val="24"/>
        </w:rPr>
        <w:t>,</w:t>
      </w:r>
      <w:r w:rsidR="00DE022E" w:rsidRPr="00ED346A">
        <w:rPr>
          <w:rFonts w:ascii="Arial" w:hAnsi="Arial" w:cs="Arial"/>
          <w:sz w:val="24"/>
          <w:szCs w:val="24"/>
        </w:rPr>
        <w:t xml:space="preserve">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10.04.2018 года №RU385181042018001,</w:t>
      </w:r>
      <w:r w:rsidR="00EA3AC4" w:rsidRPr="00ED346A">
        <w:rPr>
          <w:rFonts w:ascii="Arial" w:hAnsi="Arial" w:cs="Arial"/>
          <w:sz w:val="24"/>
          <w:szCs w:val="24"/>
        </w:rPr>
        <w:t xml:space="preserve"> </w:t>
      </w:r>
      <w:r w:rsidR="00ED346A" w:rsidRPr="001D5DBC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ED346A" w:rsidRDefault="00ED346A" w:rsidP="00ED346A">
      <w:pPr>
        <w:pStyle w:val="a7"/>
        <w:ind w:firstLine="709"/>
        <w:jc w:val="both"/>
        <w:rPr>
          <w:rFonts w:ascii="Arial" w:hAnsi="Arial" w:cs="Arial"/>
        </w:rPr>
      </w:pPr>
    </w:p>
    <w:p w:rsidR="00ED346A" w:rsidRDefault="00ED346A" w:rsidP="00ED346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D346A" w:rsidRDefault="00ED346A" w:rsidP="00ED346A">
      <w:pPr>
        <w:pStyle w:val="a7"/>
        <w:ind w:firstLine="709"/>
        <w:jc w:val="both"/>
        <w:rPr>
          <w:rFonts w:ascii="Arial" w:hAnsi="Arial" w:cs="Arial"/>
        </w:rPr>
      </w:pPr>
    </w:p>
    <w:p w:rsidR="00DE022E" w:rsidRPr="00ED346A" w:rsidRDefault="00DE022E" w:rsidP="00ED3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46A">
        <w:rPr>
          <w:rFonts w:ascii="Arial" w:hAnsi="Arial" w:cs="Arial"/>
          <w:sz w:val="24"/>
          <w:szCs w:val="24"/>
        </w:rPr>
        <w:t xml:space="preserve">1.Утвердить </w:t>
      </w:r>
      <w:r w:rsidR="00A6147C" w:rsidRPr="00ED346A">
        <w:rPr>
          <w:rFonts w:ascii="Arial" w:hAnsi="Arial" w:cs="Arial"/>
          <w:sz w:val="24"/>
          <w:szCs w:val="24"/>
        </w:rPr>
        <w:t xml:space="preserve"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 администрации Слюдянского городского поселения Слюдянского района и подведомственных ей муниципальных учреждений, муниципального унитарного предприятия </w:t>
      </w:r>
      <w:r w:rsidRPr="00ED346A">
        <w:rPr>
          <w:rFonts w:ascii="Arial" w:hAnsi="Arial" w:cs="Arial"/>
          <w:sz w:val="24"/>
          <w:szCs w:val="24"/>
        </w:rPr>
        <w:t>(приложение №1).</w:t>
      </w:r>
    </w:p>
    <w:p w:rsidR="00EA3AC4" w:rsidRPr="00ED346A" w:rsidRDefault="00A6147C" w:rsidP="00ED3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46A">
        <w:rPr>
          <w:rFonts w:ascii="Arial" w:hAnsi="Arial" w:cs="Arial"/>
          <w:sz w:val="24"/>
          <w:szCs w:val="24"/>
        </w:rPr>
        <w:t>2</w:t>
      </w:r>
      <w:r w:rsidR="00EA3AC4" w:rsidRPr="00ED346A">
        <w:rPr>
          <w:rFonts w:ascii="Arial" w:hAnsi="Arial" w:cs="Arial"/>
          <w:sz w:val="24"/>
          <w:szCs w:val="24"/>
        </w:rPr>
        <w:t>. Опубликовать настоящее постановление в приложении к газете «Байкал-Новости» и разместить на официальном сайте администрации Слюдянского городского поселения Слюдянского района, а также в единой информационной системе в сфере закупок.</w:t>
      </w:r>
    </w:p>
    <w:p w:rsidR="00DE022E" w:rsidRPr="00ED346A" w:rsidRDefault="00A6147C" w:rsidP="00ED3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46A">
        <w:rPr>
          <w:rFonts w:ascii="Arial" w:hAnsi="Arial" w:cs="Arial"/>
          <w:sz w:val="24"/>
          <w:szCs w:val="24"/>
        </w:rPr>
        <w:lastRenderedPageBreak/>
        <w:t>3</w:t>
      </w:r>
      <w:r w:rsidR="00DE022E" w:rsidRPr="00ED346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постановление возложить на заместителя главы Слюдянского муниципального образования </w:t>
      </w:r>
      <w:proofErr w:type="spellStart"/>
      <w:r w:rsidR="00DE022E" w:rsidRPr="00ED346A">
        <w:rPr>
          <w:rFonts w:ascii="Arial" w:hAnsi="Arial" w:cs="Arial"/>
          <w:sz w:val="24"/>
          <w:szCs w:val="24"/>
        </w:rPr>
        <w:t>Хаюка</w:t>
      </w:r>
      <w:proofErr w:type="spellEnd"/>
      <w:r w:rsidR="00DE022E" w:rsidRPr="00ED346A">
        <w:rPr>
          <w:rFonts w:ascii="Arial" w:hAnsi="Arial" w:cs="Arial"/>
          <w:sz w:val="24"/>
          <w:szCs w:val="24"/>
        </w:rPr>
        <w:t xml:space="preserve"> О.В.</w:t>
      </w:r>
    </w:p>
    <w:p w:rsidR="00DE022E" w:rsidRPr="00ED346A" w:rsidRDefault="00DE022E" w:rsidP="00ED346A">
      <w:pPr>
        <w:pStyle w:val="ConsPlusNormal"/>
        <w:rPr>
          <w:rFonts w:ascii="Arial" w:hAnsi="Arial" w:cs="Arial"/>
          <w:sz w:val="24"/>
          <w:szCs w:val="24"/>
        </w:rPr>
      </w:pPr>
    </w:p>
    <w:p w:rsidR="00DE022E" w:rsidRPr="00ED346A" w:rsidRDefault="00DE022E" w:rsidP="00ED346A">
      <w:pPr>
        <w:pStyle w:val="ConsPlusNormal"/>
        <w:rPr>
          <w:rFonts w:ascii="Arial" w:hAnsi="Arial" w:cs="Arial"/>
          <w:sz w:val="24"/>
          <w:szCs w:val="24"/>
        </w:rPr>
      </w:pPr>
    </w:p>
    <w:p w:rsidR="000B5B12" w:rsidRPr="00ED346A" w:rsidRDefault="00DE022E" w:rsidP="00ED346A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  <w:r w:rsidRPr="00ED346A">
        <w:rPr>
          <w:bCs/>
          <w:color w:val="auto"/>
          <w:sz w:val="24"/>
          <w:szCs w:val="24"/>
        </w:rPr>
        <w:t>Глава Слюдянского</w:t>
      </w:r>
      <w:r w:rsidR="000B5B12" w:rsidRPr="00ED346A">
        <w:rPr>
          <w:bCs/>
          <w:color w:val="auto"/>
          <w:sz w:val="24"/>
          <w:szCs w:val="24"/>
        </w:rPr>
        <w:t xml:space="preserve"> </w:t>
      </w:r>
    </w:p>
    <w:p w:rsidR="00ED346A" w:rsidRDefault="00DE022E" w:rsidP="00ED346A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  <w:r w:rsidRPr="00ED346A">
        <w:rPr>
          <w:bCs/>
          <w:color w:val="auto"/>
          <w:sz w:val="24"/>
          <w:szCs w:val="24"/>
        </w:rPr>
        <w:t>муниципального образования</w:t>
      </w:r>
    </w:p>
    <w:p w:rsidR="00FD0B2E" w:rsidRDefault="00DE022E" w:rsidP="00ED346A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  <w:r w:rsidRPr="00ED346A">
        <w:rPr>
          <w:bCs/>
          <w:color w:val="auto"/>
          <w:sz w:val="24"/>
          <w:szCs w:val="24"/>
        </w:rPr>
        <w:t>В.Н. Сендзяк</w:t>
      </w:r>
      <w:bookmarkStart w:id="0" w:name="P36"/>
      <w:bookmarkEnd w:id="0"/>
    </w:p>
    <w:p w:rsidR="00ED346A" w:rsidRDefault="00ED346A" w:rsidP="00ED346A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</w:p>
    <w:p w:rsidR="00FD0B2E" w:rsidRPr="00ED346A" w:rsidRDefault="00FD0B2E" w:rsidP="00ED346A">
      <w:pPr>
        <w:pStyle w:val="1"/>
        <w:spacing w:before="0" w:beforeAutospacing="0" w:after="0" w:afterAutospacing="0"/>
        <w:ind w:left="4956"/>
        <w:jc w:val="right"/>
        <w:rPr>
          <w:bCs/>
          <w:color w:val="auto"/>
          <w:sz w:val="24"/>
          <w:szCs w:val="24"/>
        </w:rPr>
        <w:sectPr w:rsidR="00FD0B2E" w:rsidRPr="00ED346A" w:rsidSect="00ED346A">
          <w:footerReference w:type="default" r:id="rId6"/>
          <w:type w:val="continuous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DE022E" w:rsidRPr="00ED346A" w:rsidRDefault="00DE022E" w:rsidP="00ED346A">
      <w:pPr>
        <w:pStyle w:val="1"/>
        <w:spacing w:before="0" w:beforeAutospacing="0" w:after="0" w:afterAutospacing="0"/>
        <w:ind w:left="9204"/>
        <w:jc w:val="right"/>
        <w:rPr>
          <w:rFonts w:ascii="Courier New" w:hAnsi="Courier New" w:cs="Courier New"/>
          <w:color w:val="auto"/>
          <w:sz w:val="22"/>
          <w:szCs w:val="24"/>
        </w:rPr>
      </w:pPr>
      <w:r w:rsidRPr="00ED346A">
        <w:rPr>
          <w:rFonts w:ascii="Courier New" w:hAnsi="Courier New" w:cs="Courier New"/>
          <w:bCs/>
          <w:color w:val="auto"/>
          <w:sz w:val="22"/>
          <w:szCs w:val="24"/>
        </w:rPr>
        <w:lastRenderedPageBreak/>
        <w:t>Приложение №1, утвержденное п</w:t>
      </w:r>
      <w:r w:rsidRPr="00ED346A">
        <w:rPr>
          <w:rFonts w:ascii="Courier New" w:hAnsi="Courier New" w:cs="Courier New"/>
          <w:color w:val="auto"/>
          <w:sz w:val="22"/>
          <w:szCs w:val="24"/>
        </w:rPr>
        <w:t>остановлением администрации Слюдя</w:t>
      </w:r>
      <w:r w:rsidR="00F7027E" w:rsidRPr="00ED346A">
        <w:rPr>
          <w:rFonts w:ascii="Courier New" w:hAnsi="Courier New" w:cs="Courier New"/>
          <w:color w:val="auto"/>
          <w:sz w:val="22"/>
          <w:szCs w:val="24"/>
        </w:rPr>
        <w:t xml:space="preserve">нского городского поселения от 06.08.2018 года </w:t>
      </w:r>
      <w:r w:rsidRPr="00ED346A">
        <w:rPr>
          <w:rFonts w:ascii="Courier New" w:hAnsi="Courier New" w:cs="Courier New"/>
          <w:color w:val="auto"/>
          <w:sz w:val="22"/>
          <w:szCs w:val="24"/>
        </w:rPr>
        <w:t>№</w:t>
      </w:r>
      <w:r w:rsidR="00F7027E" w:rsidRPr="00ED346A">
        <w:rPr>
          <w:rFonts w:ascii="Courier New" w:hAnsi="Courier New" w:cs="Courier New"/>
          <w:color w:val="auto"/>
          <w:sz w:val="22"/>
          <w:szCs w:val="24"/>
        </w:rPr>
        <w:t>849</w:t>
      </w:r>
    </w:p>
    <w:p w:rsidR="00DE022E" w:rsidRPr="00ED346A" w:rsidRDefault="00DE022E" w:rsidP="00ED346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C4762" w:rsidRPr="00ED346A" w:rsidRDefault="00181681" w:rsidP="00ED346A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D346A">
        <w:rPr>
          <w:rFonts w:ascii="Arial" w:hAnsi="Arial" w:cs="Arial"/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 администрации Слюдянского городского поселения Слюдянского района и подведомственных ей муниципальных учреждений, муниципального унитарного предприятия</w:t>
      </w:r>
    </w:p>
    <w:p w:rsidR="005A21AE" w:rsidRPr="00ED346A" w:rsidRDefault="005A21AE" w:rsidP="00ED34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081"/>
        <w:gridCol w:w="2269"/>
        <w:gridCol w:w="3349"/>
        <w:gridCol w:w="649"/>
        <w:gridCol w:w="1513"/>
        <w:gridCol w:w="2053"/>
        <w:gridCol w:w="2612"/>
      </w:tblGrid>
      <w:tr w:rsidR="00ED346A" w:rsidRPr="00ED346A" w:rsidTr="00ED346A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bookmarkStart w:id="1" w:name="_GoBack"/>
            <w:bookmarkEnd w:id="1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N п/п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Код по ОКПД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10176" w:type="dxa"/>
            <w:gridSpan w:val="5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характеристика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единица измерения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значение характеристики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код по ОКЕИ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наименование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орган местного самоуправления, бюджетное учреждение и муниципальное унитарное предприятие</w:t>
            </w:r>
          </w:p>
        </w:tc>
      </w:tr>
      <w:tr w:rsidR="00ED346A" w:rsidRPr="00ED346A" w:rsidTr="00ED346A">
        <w:trPr>
          <w:trHeight w:val="1002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руководитель (заместитель руководителя) администрации Слюдянского городского поселения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должности муниципальной службы категории "специалисты", работники, замещающие должности, не являющиеся должностями муниципальной службы, а также руководитель (заместитель руководителя), работники бюджетное учреждение и муниципальное унитарное предприятие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7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11</w:t>
            </w:r>
          </w:p>
        </w:tc>
      </w:tr>
      <w:tr w:rsidR="00ED346A" w:rsidRPr="00ED346A" w:rsidTr="00ED346A">
        <w:trPr>
          <w:trHeight w:val="202"/>
        </w:trPr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26.20.11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аппарата, электронные записные книжки и аналогичная компьютерная техника</w:t>
            </w:r>
          </w:p>
        </w:tc>
        <w:tc>
          <w:tcPr>
            <w:tcW w:w="33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Wi-Fi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Bluetooth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поддержки 3G (UMTS), тип видеоадаптера, время работы, операционная система, предустановленное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70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70 тыс.</w:t>
            </w:r>
          </w:p>
        </w:tc>
      </w:tr>
      <w:tr w:rsidR="00ED346A" w:rsidRPr="00ED346A" w:rsidTr="00ED346A">
        <w:trPr>
          <w:trHeight w:val="1296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26.20.15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Пояснения по требуемой продукции:</w:t>
            </w: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65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65 тыс.</w:t>
            </w:r>
          </w:p>
        </w:tc>
      </w:tr>
      <w:tr w:rsidR="00ED346A" w:rsidRPr="00ED346A" w:rsidTr="00ED346A">
        <w:trPr>
          <w:trHeight w:val="620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26.20.16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566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871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50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50 тыс.</w:t>
            </w:r>
          </w:p>
        </w:tc>
      </w:tr>
      <w:tr w:rsidR="00ED346A" w:rsidRPr="00ED346A" w:rsidTr="00ED346A">
        <w:trPr>
          <w:trHeight w:val="1090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4.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26.30.11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Wi-Fi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Bluetooth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664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Пояснения по требуемой продукции: телефоны мобильные</w:t>
            </w: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152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15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5.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44863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Мощность двигателя, комплектация, предельная цена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251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лошадиная сила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200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631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1,5 млн.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6.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11260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Мощность двигателя, комплектация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47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544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7.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15278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полудизелем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), новые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Мощность двигателя, комплектация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893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8.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40574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металлическая для офисов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(металл)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8.1.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40574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Мебель для сидения, преимущественно с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металлическим каркасом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Материал (металл), обивочные материалы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кожа натуральная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искусственная кожа</w:t>
            </w:r>
          </w:p>
        </w:tc>
      </w:tr>
      <w:tr w:rsidR="00ED346A" w:rsidRPr="00ED346A" w:rsidTr="00ED346A">
        <w:trPr>
          <w:trHeight w:val="741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30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7 тыс.</w:t>
            </w:r>
          </w:p>
        </w:tc>
      </w:tr>
      <w:tr w:rsidR="00ED346A" w:rsidRPr="00ED346A" w:rsidTr="00ED346A">
        <w:trPr>
          <w:trHeight w:val="555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9.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40939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деревянная для офисов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(вид древесины)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массив древесины ценных пород (твердолиственных и тропических);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 - древесина хвойных и мягколиственных пород</w:t>
            </w: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555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9.1.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40939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(вид древесины)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массив древесины ценных пород (твердолиственных и тропических)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значения: древесина хвойных и мягколиственных пород:</w:t>
            </w: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береза, лиственница, сосна, ель</w:t>
            </w: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Обивочные материалы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кожа натуральная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искусственная кожа</w:t>
            </w:r>
          </w:p>
        </w:tc>
      </w:tr>
      <w:tr w:rsidR="00ED346A" w:rsidRPr="00ED346A" w:rsidTr="00ED346A">
        <w:trPr>
          <w:trHeight w:val="741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возможные значения: искусственная кожа, мебельный (искусственный)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 xml:space="preserve">возможные значения; мебельный (искусственный) мех, искусственная замша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(микрофибра), ткань, нетканые материалы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</w:tbl>
    <w:p w:rsidR="005A21AE" w:rsidRPr="00ED346A" w:rsidRDefault="005A21AE" w:rsidP="00ED34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A21AE" w:rsidRPr="00ED346A" w:rsidSect="00ED346A">
      <w:type w:val="continuous"/>
      <w:pgSz w:w="16838" w:h="11905" w:orient="landscape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3F" w:rsidRDefault="0016213F" w:rsidP="00ED346A">
      <w:r>
        <w:separator/>
      </w:r>
    </w:p>
  </w:endnote>
  <w:endnote w:type="continuationSeparator" w:id="0">
    <w:p w:rsidR="0016213F" w:rsidRDefault="0016213F" w:rsidP="00ED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087913"/>
      <w:docPartObj>
        <w:docPartGallery w:val="Page Numbers (Bottom of Page)"/>
        <w:docPartUnique/>
      </w:docPartObj>
    </w:sdtPr>
    <w:sdtContent>
      <w:p w:rsidR="00ED346A" w:rsidRDefault="00ED3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D346A" w:rsidRDefault="00ED34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3F" w:rsidRDefault="0016213F" w:rsidP="00ED346A">
      <w:r>
        <w:separator/>
      </w:r>
    </w:p>
  </w:footnote>
  <w:footnote w:type="continuationSeparator" w:id="0">
    <w:p w:rsidR="0016213F" w:rsidRDefault="0016213F" w:rsidP="00ED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2E"/>
    <w:rsid w:val="00011A63"/>
    <w:rsid w:val="000B5B12"/>
    <w:rsid w:val="000F6699"/>
    <w:rsid w:val="0016213F"/>
    <w:rsid w:val="00181681"/>
    <w:rsid w:val="00386CFB"/>
    <w:rsid w:val="0039683E"/>
    <w:rsid w:val="003C2671"/>
    <w:rsid w:val="00455608"/>
    <w:rsid w:val="0047670E"/>
    <w:rsid w:val="0048173C"/>
    <w:rsid w:val="004E0CA5"/>
    <w:rsid w:val="005A21AE"/>
    <w:rsid w:val="005B4A72"/>
    <w:rsid w:val="00606FF9"/>
    <w:rsid w:val="00736726"/>
    <w:rsid w:val="00883F6A"/>
    <w:rsid w:val="00955E19"/>
    <w:rsid w:val="009B749A"/>
    <w:rsid w:val="00A13D95"/>
    <w:rsid w:val="00A6147C"/>
    <w:rsid w:val="00AC4762"/>
    <w:rsid w:val="00AE69BF"/>
    <w:rsid w:val="00B450A8"/>
    <w:rsid w:val="00B70886"/>
    <w:rsid w:val="00C223B6"/>
    <w:rsid w:val="00C9459E"/>
    <w:rsid w:val="00D95947"/>
    <w:rsid w:val="00DE022E"/>
    <w:rsid w:val="00DF2872"/>
    <w:rsid w:val="00E5032D"/>
    <w:rsid w:val="00EA3AC4"/>
    <w:rsid w:val="00ED346A"/>
    <w:rsid w:val="00F7027E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0F22"/>
  <w15:chartTrackingRefBased/>
  <w15:docId w15:val="{BEBBFB2A-A28B-4E2B-9C2E-AFDCFD4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 (веб)1"/>
    <w:basedOn w:val="a"/>
    <w:rsid w:val="00DE022E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4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3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4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346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Светлана Александровна Абдрахманова</cp:lastModifiedBy>
  <cp:revision>16</cp:revision>
  <dcterms:created xsi:type="dcterms:W3CDTF">2018-07-11T05:10:00Z</dcterms:created>
  <dcterms:modified xsi:type="dcterms:W3CDTF">2018-09-14T12:32:00Z</dcterms:modified>
</cp:coreProperties>
</file>